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top w:val="single" w:color="0F6E56" w:sz="60" w:space="0"/>
        </w:pBdr>
        <w:spacing w:before="0" w:after="0"/>
      </w:pPr>
      <w:r>
        <w:t xml:space="preserve"/>
      </w:r>
    </w:p>
    <w:p>
      <w:pPr>
        <w:spacing w:before="80" w:after="80"/>
      </w:pPr>
      <w:r>
        <w:t xml:space="preserve"/>
      </w:r>
    </w:p>
    <w:p>
      <w:pPr>
        <w:spacing w:before="80" w:after="80"/>
      </w:pPr>
      <w:r>
        <w:t xml:space="preserve"/>
      </w:r>
    </w:p>
    <w:p>
      <w:pPr>
        <w:spacing w:before="300" w:after="60"/>
        <w:jc w:val="center"/>
      </w:pPr>
      <w:r>
        <w:rPr>
          <w:rFonts w:ascii="Calibri" w:cs="Calibri" w:eastAsia="Calibri" w:hAnsi="Calibri"/>
          <w:b/>
          <w:bCs/>
          <w:color w:val="0D1B2A"/>
          <w:sz w:val="128"/>
          <w:szCs w:val="128"/>
        </w:rPr>
        <w:t xml:space="preserve">BRC</w:t>
      </w:r>
    </w:p>
    <w:p>
      <w:pPr>
        <w:spacing w:before="0" w:after="40"/>
        <w:jc w:val="center"/>
      </w:pPr>
      <w:r>
        <w:rPr>
          <w:rFonts w:ascii="Calibri" w:cs="Calibri" w:eastAsia="Calibri" w:hAnsi="Calibri"/>
          <w:color w:val="0F6E56"/>
          <w:sz w:val="40"/>
          <w:szCs w:val="40"/>
        </w:rPr>
        <w:t xml:space="preserve">Brazilian Real Coin</w:t>
      </w:r>
    </w:p>
    <w:p>
      <w:pPr>
        <w:spacing w:before="0" w:after="120"/>
        <w:jc w:val="center"/>
      </w:pPr>
      <w:r>
        <w:rPr>
          <w:rFonts w:ascii="Georgia" w:cs="Georgia" w:eastAsia="Georgia" w:hAnsi="Georgia"/>
          <w:i/>
          <w:iCs/>
          <w:color w:val="4A4A4A"/>
          <w:sz w:val="26"/>
          <w:szCs w:val="26"/>
        </w:rPr>
        <w:t xml:space="preserve">Whitepaper</w:t>
      </w:r>
    </w:p>
    <w:p>
      <w:pPr>
        <w:pBdr>
          <w:bottom w:val="single" w:color="E8E8E8" w:sz="3" w:space="2"/>
        </w:pBdr>
        <w:spacing w:before="60" w:after="60"/>
        <w:jc w:val="center"/>
      </w:pPr>
      <w:r>
        <w:t xml:space="preserve"/>
      </w:r>
    </w:p>
    <w:p>
      <w:pPr>
        <w:spacing w:before="80" w:after="80"/>
      </w:pPr>
      <w:r>
        <w:t xml:space="preserve"/>
      </w:r>
    </w:p>
    <w:p>
      <w:pPr>
        <w:spacing w:before="80" w:after="80"/>
      </w:pPr>
      <w:r>
        <w:t xml:space="preserve"/>
      </w:r>
    </w:p>
    <w:p>
      <w:pPr>
        <w:spacing w:before="0" w:after="20"/>
        <w:jc w:val="center"/>
      </w:pPr>
      <w:r>
        <w:rPr>
          <w:rFonts w:ascii="Calibri" w:cs="Calibri" w:eastAsia="Calibri" w:hAnsi="Calibri"/>
          <w:color w:val="888888"/>
          <w:sz w:val="20"/>
          <w:szCs w:val="20"/>
        </w:rPr>
        <w:t xml:space="preserve">Versão 1.0</w:t>
      </w:r>
    </w:p>
    <w:p>
      <w:pPr>
        <w:spacing w:before="0" w:after="20"/>
        <w:jc w:val="center"/>
      </w:pPr>
      <w:r>
        <w:rPr>
          <w:rFonts w:ascii="Calibri" w:cs="Calibri" w:eastAsia="Calibri" w:hAnsi="Calibri"/>
          <w:color w:val="888888"/>
          <w:sz w:val="20"/>
          <w:szCs w:val="20"/>
        </w:rPr>
        <w:t xml:space="preserve">Março de 2026</w:t>
      </w:r>
    </w:p>
    <w:p>
      <w:pPr>
        <w:spacing w:before="80" w:after="80"/>
      </w:pPr>
      <w:r>
        <w:t xml:space="preserve"/>
      </w:r>
    </w:p>
    <w:p>
      <w:pPr>
        <w:spacing w:before="80" w:after="80"/>
      </w:pPr>
      <w:r>
        <w:t xml:space="preserve"/>
      </w:r>
    </w:p>
    <w:p>
      <w:pPr>
        <w:spacing w:before="0" w:after="0"/>
        <w:jc w:val="center"/>
      </w:pPr>
      <w:r>
        <w:rPr>
          <w:rFonts w:ascii="Calibri" w:cs="Calibri" w:eastAsia="Calibri" w:hAnsi="Calibri"/>
          <w:b/>
          <w:bCs/>
          <w:color w:val="0F6E56"/>
          <w:sz w:val="22"/>
          <w:szCs w:val="22"/>
        </w:rPr>
        <w:t xml:space="preserve">brc.finance</w:t>
      </w:r>
    </w:p>
    <w:p>
      <w:pPr>
        <w:spacing w:before="80" w:after="80"/>
      </w:pPr>
      <w:r>
        <w:t xml:space="preserve"/>
      </w:r>
    </w:p>
    <w:p>
      <w:pPr>
        <w:spacing w:before="80" w:after="80"/>
      </w:pPr>
      <w:r>
        <w:t xml:space="preserve"/>
      </w:r>
    </w:p>
    <w:p>
      <w:pPr>
        <w:spacing w:before="80" w:after="80"/>
      </w:pPr>
      <w:r>
        <w:t xml:space="preserve"/>
      </w:r>
    </w:p>
    <w:p>
      <w:pPr>
        <w:spacing w:before="0" w:after="80"/>
        <w:jc w:val="center"/>
      </w:pPr>
      <w:r>
        <w:rPr>
          <w:rFonts w:ascii="Georgia" w:cs="Georgia" w:eastAsia="Georgia" w:hAnsi="Georgia"/>
          <w:i/>
          <w:iCs/>
          <w:color w:val="888888"/>
          <w:sz w:val="18"/>
          <w:szCs w:val="18"/>
        </w:rPr>
        <w:t xml:space="preserve">Este documento é fornecido para fins informativos. Não constitui oferta ou distribuição de valores mobiliários. O BRC não é um produto de investimento.</w:t>
      </w:r>
    </w:p>
    <w:p>
      <w:r>
        <w:br w:type="page"/>
      </w:r>
    </w:p>
    <w:p>
      <w:pPr>
        <w:pStyle w:val="Heading2"/>
        <w:spacing w:before="320" w:after="120"/>
      </w:pPr>
      <w:r>
        <w:rPr>
          <w:rFonts w:ascii="Calibri" w:cs="Calibri" w:eastAsia="Calibri" w:hAnsi="Calibri"/>
          <w:b/>
          <w:bCs/>
          <w:color w:val="0D1B2A"/>
          <w:sz w:val="24"/>
          <w:szCs w:val="24"/>
        </w:rPr>
        <w:t xml:space="preserve">Resumo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(Brazilian Real Coin) é um token digital lastreado no Real brasileiro (BRL) na proporção de 1:1, projetado para operar como infraestrutura de liquidação de pagamentos sobre redes blockchain de múltiplas camadas. O BRC integra-se nativamente ao sistema de pagamentos instantâneos PIX, permitindo a conversão direta entre BRL e tokens on-chain de forma transparente e auditável.</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token foi concebido como um instrumento de liquidação — transitório por natureza — para uso por parceiros financeiros institucionais, gateways de pagamento e plataformas de finanças digitais. Cada unidade de BRC em circulação corresponde a exatamente um Real brasileiro mantido em custódia por uma Instituição de Pagamento licenciada. A paridade é verificável publicamente por meio de um mecanismo de Proof of Reserves publicado mensalmente.</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Este documento descreve o conceito, as propriedades técnicas, os mecanismos de emissão e resgate, as redes suportadas e o posicionamento regulatório do BRC.</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1. Introdução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sistema financeiro brasileiro passou por uma transformação significativa com a introdução do PIX em novembro de 2020. Em poucos anos, o PIX tornou-se o sistema de pagamentos instantâneos mais utilizado do mundo em termos de volume por habitante, processando dezenas de bilhões de transações anuais com liquidação em segundos, disponível ininterruptamente.</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Paralelamente, o ecossistema de ativos digitais evoluiu para oferecer infraestruturas de liquidação programável, baseadas em protocolos blockchain, que permitem transferências sem fronteiras, automação via contratos inteligentes e auditabilidade em tempo real. Nesse contexto, stablecoins — tokens cujo valor é atrelado a uma moeda fiduciária — emergiram como a principal ponte entre o sistema financeiro tradicional e as redes descentralizadas.</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Real brasileiro, no entanto, permanece praticamente ausente desse ecossistema de forma nativa. Operações que envolvem o BRL e redes blockchain hoje dependem majoritariamente de stablecoins em dólar norte-americano como intermediário — o que introduz risco cambial desnecessário, custos de conversão e complexidade para operações que são, em sua essência, domésticas.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6E56" w:sz="12"/>
              <w:bottom w:val="none" w:color="FFFFFF" w:sz="0"/>
              <w:right w:val="none" w:color="FFFFFF" w:sz="0"/>
            </w:tcBorders>
            <w:shd w:fill="EAF5F0" w:val="clear"/>
            <w:tcMar>
              <w:top w:type="dxa" w:w="100"/>
              <w:left w:type="dxa" w:w="200"/>
              <w:bottom w:type="dxa" w:w="100"/>
              <w:right w:type="dxa" w:w="200"/>
            </w:tcMar>
          </w:tcPr>
          <w:p>
            <w:pPr>
              <w:spacing w:before="40" w:after="40"/>
              <w:jc w:val="both"/>
            </w:pPr>
            <w:r>
              <w:rPr>
                <w:rFonts w:ascii="Georgia" w:cs="Georgia" w:eastAsia="Georgia" w:hAnsi="Georgia"/>
                <w:i/>
                <w:iCs/>
                <w:color w:val="0D1B2A"/>
                <w:sz w:val="21"/>
                <w:szCs w:val="21"/>
              </w:rPr>
              <w:t xml:space="preserve">O BRC nasce para preencher esse gap: um token lastreado em Real, integrado ao PIX, emitido sobre redes blockchain de múltiplas camadas e verificável por qualquer participante da rede.</w:t>
            </w:r>
          </w:p>
        </w:tc>
      </w:tr>
    </w:tbl>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não pretende substituir o PIX nem competir com o sistema bancário tradicional. Ele opera como uma camada de liquidação adicional — uma infraestrutura sobre a qual parceiros financeiros podem construir serviços que hoje são inviáveis ou economicamente ineficientes com os instrumentos existentes.</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2. O Token BRC</w:t>
      </w:r>
    </w:p>
    <w:p>
      <w:pPr>
        <w:pStyle w:val="Heading2"/>
        <w:spacing w:before="320" w:after="120"/>
      </w:pPr>
      <w:r>
        <w:rPr>
          <w:rFonts w:ascii="Calibri" w:cs="Calibri" w:eastAsia="Calibri" w:hAnsi="Calibri"/>
          <w:b/>
          <w:bCs/>
          <w:color w:val="0D1B2A"/>
          <w:sz w:val="24"/>
          <w:szCs w:val="24"/>
        </w:rPr>
        <w:t xml:space="preserve">2.1 Definição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é um ativo virtual referenciado em Real brasileiro na proporção fixa de 1:1. Isso significa que para cada unidade de BRC emitida e em circulação, existe exatamente 1 BRL mantido em custódia por uma Instituição de Pagamento licenciada pelo Banco Central do Brasil. A paridade não é algorítmica — ela é garantida por reservas reais, verificáveis e auditadas.</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token é emitido e gerenciado por um emissor licenciado em jurisdição compatível com a regulação de ativos virtuais, operando de forma transparente com publicação periódica de suas reservas.</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2.2 Classificação — Token 3T</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se enquadra na categoria de Token 3T, um conceito que descreve três propriedades fundamentais do token:</w:t>
      </w:r>
    </w:p>
    <w:p>
      <w:pPr>
        <w:spacing w:before="80" w:after="80"/>
      </w:pPr>
      <w:r>
        <w:t xml:space="preserve"/>
      </w:r>
    </w:p>
    <w:p>
      <w:pPr>
        <w:spacing w:before="60" w:after="120" w:line="276" w:lineRule="auto"/>
        <w:jc w:val="both"/>
      </w:pPr>
      <w:r>
        <w:rPr>
          <w:rFonts w:ascii="Georgia" w:cs="Georgia" w:eastAsia="Georgia" w:hAnsi="Georgia"/>
          <w:b/>
          <w:bCs/>
          <w:i w:val="false"/>
          <w:iCs w:val="false"/>
          <w:color w:val="2C2C2A"/>
          <w:sz w:val="22"/>
          <w:szCs w:val="22"/>
        </w:rPr>
        <w:t xml:space="preserve">Transient (Transitório). </w:t>
      </w:r>
      <w:r>
        <w:rPr>
          <w:rFonts w:ascii="Georgia" w:cs="Georgia" w:eastAsia="Georgia" w:hAnsi="Georgia"/>
          <w:b w:val="false"/>
          <w:bCs w:val="false"/>
          <w:i w:val="false"/>
          <w:iCs w:val="false"/>
          <w:color w:val="2C2C2A"/>
          <w:sz w:val="22"/>
          <w:szCs w:val="22"/>
        </w:rPr>
        <w:t xml:space="preserve">O BRC não é projetado para ser acumulado como reserva de valor de longo prazo. Sua função é servir como intermediário de liquidação: é emitido para viabilizar uma transação e resgatado (destruído) ao término dessa transação. Essa característica é intencional e reflete o modelo operacional do token — um instrumento de trânsito, não de acumulação.</w:t>
      </w:r>
    </w:p>
    <w:p>
      <w:pPr>
        <w:spacing w:before="80" w:after="80"/>
      </w:pPr>
      <w:r>
        <w:t xml:space="preserve"/>
      </w:r>
    </w:p>
    <w:p>
      <w:pPr>
        <w:spacing w:before="60" w:after="120" w:line="276" w:lineRule="auto"/>
        <w:jc w:val="both"/>
      </w:pPr>
      <w:r>
        <w:rPr>
          <w:rFonts w:ascii="Georgia" w:cs="Georgia" w:eastAsia="Georgia" w:hAnsi="Georgia"/>
          <w:b/>
          <w:bCs/>
          <w:i w:val="false"/>
          <w:iCs w:val="false"/>
          <w:color w:val="2C2C2A"/>
          <w:sz w:val="22"/>
          <w:szCs w:val="22"/>
        </w:rPr>
        <w:t xml:space="preserve">Tactful (Discreto). </w:t>
      </w:r>
      <w:r>
        <w:rPr>
          <w:rFonts w:ascii="Georgia" w:cs="Georgia" w:eastAsia="Georgia" w:hAnsi="Georgia"/>
          <w:b w:val="false"/>
          <w:bCs w:val="false"/>
          <w:i w:val="false"/>
          <w:iCs w:val="false"/>
          <w:color w:val="2C2C2A"/>
          <w:sz w:val="22"/>
          <w:szCs w:val="22"/>
        </w:rPr>
        <w:t xml:space="preserve">O BRC utiliza as capacidades das redes sobre as quais opera para garantir que transações entre parceiros institucionais não exponham informações comercialmente sensíveis de forma desnecessária. Nas redes que suportam transações confidenciais, os valores são verificáveis pelo emissor sem necessidade de exposição pública.</w:t>
      </w:r>
    </w:p>
    <w:p>
      <w:pPr>
        <w:spacing w:before="80" w:after="80"/>
      </w:pPr>
      <w:r>
        <w:t xml:space="preserve"/>
      </w:r>
    </w:p>
    <w:p>
      <w:pPr>
        <w:spacing w:before="60" w:after="120" w:line="276" w:lineRule="auto"/>
        <w:jc w:val="both"/>
      </w:pPr>
      <w:r>
        <w:rPr>
          <w:rFonts w:ascii="Georgia" w:cs="Georgia" w:eastAsia="Georgia" w:hAnsi="Georgia"/>
          <w:b/>
          <w:bCs/>
          <w:i w:val="false"/>
          <w:iCs w:val="false"/>
          <w:color w:val="2C2C2A"/>
          <w:sz w:val="22"/>
          <w:szCs w:val="22"/>
        </w:rPr>
        <w:t xml:space="preserve">Trustworthy (Confiável). </w:t>
      </w:r>
      <w:r>
        <w:rPr>
          <w:rFonts w:ascii="Georgia" w:cs="Georgia" w:eastAsia="Georgia" w:hAnsi="Georgia"/>
          <w:b w:val="false"/>
          <w:bCs w:val="false"/>
          <w:i w:val="false"/>
          <w:iCs w:val="false"/>
          <w:color w:val="2C2C2A"/>
          <w:sz w:val="22"/>
          <w:szCs w:val="22"/>
        </w:rPr>
        <w:t xml:space="preserve">A confiabilidade do BRC é estrutural, não declarativa. A paridade com o Real é garantida por reservas verificáveis em tempo real. O Proof of Reserves, publicado mensalmente com hash registrado on-chain, permite que qualquer participante da rede verifique de forma independente que o total emitido nunca supera o total em custódia.</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2.3 Públicos e Casos de Uso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é um produto exclusivamente institucional (B2B). Não é direcionado ao consumidor final. Os casos de uso primários incluem:</w:t>
      </w:r>
    </w:p>
    <w:p>
      <w:pPr>
        <w:spacing w:before="80" w:after="80"/>
      </w:pPr>
      <w:r>
        <w:t xml:space="preserve"/>
      </w:r>
    </w:p>
    <w:p>
      <w:pPr>
        <w:pStyle w:val="ListParagraph"/>
        <w:numPr>
          <w:ilvl w:val="0"/>
          <w:numId w:val="2"/>
        </w:numPr>
        <w:spacing w:before="50" w:after="50"/>
      </w:pPr>
      <w:r>
        <w:rPr>
          <w:rFonts w:ascii="Georgia" w:cs="Georgia" w:eastAsia="Georgia" w:hAnsi="Georgia"/>
          <w:color w:val="2C2C2A"/>
          <w:sz w:val="22"/>
          <w:szCs w:val="22"/>
        </w:rPr>
        <w:t xml:space="preserve">Gateways de pagamento que precisam receber BRL via PIX e liquidar em redes blockchain, eliminando intermediários cambiais desnecessários.</w:t>
      </w:r>
    </w:p>
    <w:p>
      <w:pPr>
        <w:pStyle w:val="ListParagraph"/>
        <w:numPr>
          <w:ilvl w:val="0"/>
          <w:numId w:val="2"/>
        </w:numPr>
        <w:spacing w:before="50" w:after="50"/>
      </w:pPr>
      <w:r>
        <w:rPr>
          <w:rFonts w:ascii="Georgia" w:cs="Georgia" w:eastAsia="Georgia" w:hAnsi="Georgia"/>
          <w:color w:val="2C2C2A"/>
          <w:sz w:val="22"/>
          <w:szCs w:val="22"/>
        </w:rPr>
        <w:t xml:space="preserve">Bancos digitais e fintechs que oferecem a seus usuários acesso a serviços que hoje dependem de ativos em dólar.</w:t>
      </w:r>
    </w:p>
    <w:p>
      <w:pPr>
        <w:pStyle w:val="ListParagraph"/>
        <w:numPr>
          <w:ilvl w:val="0"/>
          <w:numId w:val="2"/>
        </w:numPr>
        <w:spacing w:before="50" w:after="50"/>
      </w:pPr>
      <w:r>
        <w:rPr>
          <w:rFonts w:ascii="Georgia" w:cs="Georgia" w:eastAsia="Georgia" w:hAnsi="Georgia"/>
          <w:color w:val="2C2C2A"/>
          <w:sz w:val="22"/>
          <w:szCs w:val="22"/>
        </w:rPr>
        <w:t xml:space="preserve">Plataformas de remessas internacionais que necessitam de um trilho BRL on-chain de baixo custo para liquidações transfronteiriças.</w:t>
      </w:r>
    </w:p>
    <w:p>
      <w:pPr>
        <w:pStyle w:val="ListParagraph"/>
        <w:numPr>
          <w:ilvl w:val="0"/>
          <w:numId w:val="2"/>
        </w:numPr>
        <w:spacing w:before="50" w:after="50"/>
      </w:pPr>
      <w:r>
        <w:rPr>
          <w:rFonts w:ascii="Georgia" w:cs="Georgia" w:eastAsia="Georgia" w:hAnsi="Georgia"/>
          <w:color w:val="2C2C2A"/>
          <w:sz w:val="22"/>
          <w:szCs w:val="22"/>
        </w:rPr>
        <w:t xml:space="preserve">Exchanges e plataformas de liquidez que operam pares BRL sem precisar usar stablecoins em moeda estrangeira como proxy.</w:t>
      </w:r>
    </w:p>
    <w:p>
      <w:pPr>
        <w:pStyle w:val="ListParagraph"/>
        <w:numPr>
          <w:ilvl w:val="0"/>
          <w:numId w:val="2"/>
        </w:numPr>
        <w:spacing w:before="50" w:after="50"/>
      </w:pPr>
      <w:r>
        <w:rPr>
          <w:rFonts w:ascii="Georgia" w:cs="Georgia" w:eastAsia="Georgia" w:hAnsi="Georgia"/>
          <w:color w:val="2C2C2A"/>
          <w:sz w:val="22"/>
          <w:szCs w:val="22"/>
        </w:rPr>
        <w:t xml:space="preserve">Protocolos de finanças descentralizadas (DeFi) que buscam liquidez em Real brasileiro nativa.</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3. Redes Suportadas</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é projetado para uma arquitetura multi-rede. A expansão ocorre em fases, priorizando redes com características técnicas relevantes para cada perfil de uso: transações de médio prazo na Fase 1, contratos inteligentes e DeFi na Fase 2, e micro-pagamentos instantâneos na Fase 3.</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Fase 1 — Liquid Network</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Liquid Network é uma sidechain federada do Bitcoin operada por um consórcio de exchanges, custodiantes e instituições financeiras. É a rede de lançamento do BRC e o principal trilho de liquidação para parceiros financeiros institucionais.</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escolha da Liquid como rede primária é fundamentada em suas propriedades técnicas específicas para uso financeiro institucional. Os blocos são gerados a cada dois minutos, oferecendo tempo de confirmação adequado para operações de liquidação sem a latência do Bitcoin on-chain. A rede suporta Confidential Assets — um mecanismo que permite que os valores das transações sejam verificáveis criptograficamente sem exposição pública dos montantes. A segurança da rede é ancorada no Bitcoin, o ativo digital mais auditado e descentralizado em operação.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emissão do BRC na Liquid utiliza o mecanismo nativo de issuance de ativos da rede, com controle determinístico sobre quem pode emitir e resgatar o token. As chaves de reissuance — o ativo mais crítico de toda a operação — são gerenciadas via hardware de segurança dedicado (HSM), certificado no mais alto nível de segurança disponível.</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6E56" w:sz="12"/>
              <w:bottom w:val="none" w:color="FFFFFF" w:sz="0"/>
              <w:right w:val="none" w:color="FFFFFF" w:sz="0"/>
            </w:tcBorders>
            <w:shd w:fill="EAF5F0" w:val="clear"/>
            <w:tcMar>
              <w:top w:type="dxa" w:w="100"/>
              <w:left w:type="dxa" w:w="200"/>
              <w:bottom w:type="dxa" w:w="100"/>
              <w:right w:type="dxa" w:w="200"/>
            </w:tcMar>
          </w:tcPr>
          <w:p>
            <w:pPr>
              <w:spacing w:before="40" w:after="40"/>
              <w:jc w:val="both"/>
            </w:pPr>
            <w:r>
              <w:rPr>
                <w:rFonts w:ascii="Georgia" w:cs="Georgia" w:eastAsia="Georgia" w:hAnsi="Georgia"/>
                <w:i/>
                <w:iCs/>
                <w:color w:val="0D1B2A"/>
                <w:sz w:val="21"/>
                <w:szCs w:val="21"/>
              </w:rPr>
              <w:t xml:space="preserve">O BRC na Liquid Network é o instrumento primário para parceiros que operam com volumes em BRL e necessitam de liquidação on-chain auditável e eficiente.</w:t>
            </w:r>
          </w:p>
        </w:tc>
      </w:tr>
    </w:tbl>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Fase 2 — Redes EVM (Ethereum, Polygon e outras)</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Na segunda fase, o BRC é expandido para redes compatíveis com a Ethereum Virtual Machine (EVM), com foco inicial em Polygon. Essa expansão atende a um perfil distinto de parceiros: plataformas DeFi, exchanges descentralizadas (DEX), protocolos de empréstimo e aplicações que dependem da composabilidade dos contratos inteligentes em Solidity.</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implementação EVM do BRC segue o padrão ERC-20, com contrato inteligente auditado externamente antes do lançamento em mainnet. O padrão de upgrade escolhido é o UUPS Proxy (Universal Upgradeable Proxy Standard), que permite correções e melhorias futuras sem migração de saldo — preservando a continuidade para todos os holders.</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escolha do Polygon como rede EVM primária é motivada por seus custos de transação reduzidos, alta compatibilidade com o ecossistema Ethereum e ampla adoção por projetos DeFi na América Latina. O BRC ERC-20 pode ser utilizado em qualquer protocolo compatível com o padrão sem integração adicional.</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emissão EVM é sincronizada com a emissão na Liquid: o total circulante agregado nas duas redes é sempre coberto pela mesma reserva em BRL. Não há dupla emissão — os mecanismos de mint e burn são coordenados para garantir paridade global.</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Fase 3 — Lightning Network via Taproot Assets</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terceira fase expande o BRC para a Lightning Network por meio do protocolo Taproot Assets (anteriormente conhecido como Taro), desenvolvido pela Lightning Labs. Essa integração viabiliza micro-pagamentos instantâneos em BRC com latência de milissegundos e custos marginais, aproveitando a infraestrutura de canais de pagamento já estabelecida da Lightning Network.</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Taproot Assets permite a emissão e transferência de ativos sobre o Bitcoin via Taproot, com liquidação final na chain do Bitcoin. Canais Lightning que suportam Taproot Assets podem rotear pagamentos em BRC da mesma forma que roteiam pagamentos em satoshis, sem que os nós intermediários precisem conhecer ou custodiar o ativo específico.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Essa fase posiciona o BRC como instrumento para casos de uso de alta frequência e baixo valor: pagamentos de streaming, micropagamentos em plataformas digitais, e integrações com sistemas de ponto de venda que necessitam de confirmação instantânea. A integração com o PIX nessa fase permite conversão direta BRL → BRC Lightning em tempo real.</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Sumário das Redes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1800"/>
        <w:gridCol w:w="3160"/>
        <w:gridCol w:w="3000"/>
      </w:tblGrid>
      <w:tr>
        <w:trPr>
          <w:tblHeader/>
        </w:trPr>
        <w:tc>
          <w:tcPr>
            <w:tcW w:type="dxa" w:w="140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80"/>
            </w:tcMar>
          </w:tcPr>
          <w:p>
            <w:r>
              <w:rPr>
                <w:rFonts w:ascii="Calibri" w:cs="Calibri" w:eastAsia="Calibri" w:hAnsi="Calibri"/>
                <w:b/>
                <w:bCs/>
                <w:color w:val="FFFFFF"/>
                <w:sz w:val="19"/>
                <w:szCs w:val="19"/>
              </w:rPr>
              <w:t xml:space="preserve">Fase</w:t>
            </w:r>
          </w:p>
        </w:tc>
        <w:tc>
          <w:tcPr>
            <w:tcW w:type="dxa" w:w="180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80"/>
            </w:tcMar>
          </w:tcPr>
          <w:p>
            <w:r>
              <w:rPr>
                <w:rFonts w:ascii="Calibri" w:cs="Calibri" w:eastAsia="Calibri" w:hAnsi="Calibri"/>
                <w:b/>
                <w:bCs/>
                <w:color w:val="FFFFFF"/>
                <w:sz w:val="19"/>
                <w:szCs w:val="19"/>
              </w:rPr>
              <w:t xml:space="preserve">Rede</w:t>
            </w:r>
          </w:p>
        </w:tc>
        <w:tc>
          <w:tcPr>
            <w:tcW w:type="dxa" w:w="316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80"/>
            </w:tcMar>
          </w:tcPr>
          <w:p>
            <w:r>
              <w:rPr>
                <w:rFonts w:ascii="Calibri" w:cs="Calibri" w:eastAsia="Calibri" w:hAnsi="Calibri"/>
                <w:b/>
                <w:bCs/>
                <w:color w:val="FFFFFF"/>
                <w:sz w:val="19"/>
                <w:szCs w:val="19"/>
              </w:rPr>
              <w:t xml:space="preserve">Padrão técnico</w:t>
            </w:r>
          </w:p>
        </w:tc>
        <w:tc>
          <w:tcPr>
            <w:tcW w:type="dxa" w:w="3000"/>
            <w:tcBorders>
              <w:top w:val="single" w:color="CCCCCC" w:sz="1"/>
              <w:left w:val="single" w:color="CCCCCC" w:sz="1"/>
              <w:bottom w:val="single" w:color="CCCCCC" w:sz="1"/>
              <w:right w:val="single" w:color="CCCCCC" w:sz="1"/>
            </w:tcBorders>
            <w:shd w:fill="0D1B2A" w:val="clear"/>
            <w:tcMar>
              <w:top w:type="dxa" w:w="80"/>
              <w:left w:type="dxa" w:w="120"/>
              <w:bottom w:type="dxa" w:w="80"/>
              <w:right w:type="dxa" w:w="80"/>
            </w:tcMar>
          </w:tcPr>
          <w:p>
            <w:r>
              <w:rPr>
                <w:rFonts w:ascii="Calibri" w:cs="Calibri" w:eastAsia="Calibri" w:hAnsi="Calibri"/>
                <w:b/>
                <w:bCs/>
                <w:color w:val="FFFFFF"/>
                <w:sz w:val="19"/>
                <w:szCs w:val="19"/>
              </w:rPr>
              <w:t xml:space="preserve">Perfil de uso</w:t>
            </w:r>
          </w:p>
        </w:tc>
      </w:tr>
      <w:tr>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1</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Liquid Network</w:t>
            </w:r>
          </w:p>
        </w:tc>
        <w:tc>
          <w:tcPr>
            <w:tcW w:type="dxa" w:w="3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Confidential Assets (Bitcoin sidechain)</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Liquidação institucional, gateways, remessas</w:t>
            </w:r>
          </w:p>
        </w:tc>
      </w:tr>
      <w:tr>
        <w:tc>
          <w:tcPr>
            <w:tcW w:type="dxa" w:w="140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2</w:t>
            </w:r>
          </w:p>
        </w:tc>
        <w:tc>
          <w:tcPr>
            <w:tcW w:type="dxa" w:w="180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EVM — Polygon e outras</w:t>
            </w:r>
          </w:p>
        </w:tc>
        <w:tc>
          <w:tcPr>
            <w:tcW w:type="dxa" w:w="31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ERC-20 + UUPS Proxy (Solidity, auditado)</w:t>
            </w:r>
          </w:p>
        </w:tc>
        <w:tc>
          <w:tcPr>
            <w:tcW w:type="dxa" w:w="300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DeFi, DEX, contratos inteligentes</w:t>
            </w:r>
          </w:p>
        </w:tc>
      </w:tr>
      <w:tr>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3</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Lightning via Taproot Assets</w:t>
            </w:r>
          </w:p>
        </w:tc>
        <w:tc>
          <w:tcPr>
            <w:tcW w:type="dxa" w:w="3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Taproot Assets (Bitcoin L2)</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80"/>
            </w:tcMar>
          </w:tcPr>
          <w:p>
            <w:pPr>
              <w:spacing w:before="30" w:after="30"/>
            </w:pPr>
            <w:r>
              <w:rPr>
                <w:rFonts w:ascii="Georgia" w:cs="Georgia" w:eastAsia="Georgia" w:hAnsi="Georgia"/>
                <w:color w:val="2C2C2A"/>
                <w:sz w:val="19"/>
                <w:szCs w:val="19"/>
              </w:rPr>
              <w:t xml:space="preserve">Micro-pagamentos, alta frequência, baixo valor</w:t>
            </w:r>
          </w:p>
        </w:tc>
      </w:tr>
    </w:tbl>
    <w:p>
      <w:pPr>
        <w:spacing w:before="40" w:after="120"/>
        <w:jc w:val="center"/>
      </w:pPr>
      <w:r>
        <w:rPr>
          <w:rFonts w:ascii="Calibri" w:cs="Calibri" w:eastAsia="Calibri" w:hAnsi="Calibri"/>
          <w:i/>
          <w:iCs/>
          <w:color w:val="888888"/>
          <w:sz w:val="18"/>
          <w:szCs w:val="18"/>
        </w:rPr>
        <w:t xml:space="preserve">Tabela 1. Redes suportadas pelo BRC por fase de lançamento.</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4. Emissão e Resgate</w:t>
      </w:r>
    </w:p>
    <w:p>
      <w:pPr>
        <w:pStyle w:val="Heading2"/>
        <w:spacing w:before="320" w:after="120"/>
      </w:pPr>
      <w:r>
        <w:rPr>
          <w:rFonts w:ascii="Calibri" w:cs="Calibri" w:eastAsia="Calibri" w:hAnsi="Calibri"/>
          <w:b/>
          <w:bCs/>
          <w:color w:val="0D1B2A"/>
          <w:sz w:val="24"/>
          <w:szCs w:val="24"/>
        </w:rPr>
        <w:t xml:space="preserve">4.1 BRC IN — Emissão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emissão de BRC ocorre quando um valor em BRL é recebido pelo sistema via PIX e, após confirmação, um montante equivalente em BRC é creditado no endereço blockchain indicado pelo parceiro.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fluxo é o seguinte: o parceiro submete uma ordem de depósito com o valor e o endereço de destino. O sistema gera um QR Code PIX dinâmico, válido por tempo determinado. Após o pagamento e a confirmação do PIX pela Instituição de Pagamento parceira — tipicamente em segundos — a operação de mint é iniciada. O BRC é emitido na rede de destino configurada e confirmado no bloco seguinte. O parceiro recebe uma notificação via webhook com o identificador da transação on-chain.</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operação é idempotente: cada ordem possui um identificador único de referência. Reprocessamentos decorrentes de falhas de rede não resultam em dupla emissão. O sistema verifica a existência prévia de emissão para cada referência antes de qualquer operação de mint.</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4.2 BRC OUT — Resgate</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resgate converte BRC de volta em BRL, enviado via PIX ao beneficiário indicado. O parceiro transfere BRC para um endereço de resgate único gerado pelo sistema. Após a confirmação on-chain, o token é destruído (burned) de forma verificável e o equivalente em BRL é enviado via PIX pela Instituição de Pagamento parceira.</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burn é registrado na blockchain de forma pública — reduz o total circulante de maneira auditável, mantendo a correspondência com o saldo de reservas. Nenhum BRC pode permanecer circulando após o resgate do BRL correspondente.</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4.3 Invariante de Paridade</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sistema mantém em todos os momentos a seguinte invariante:</w:t>
      </w:r>
    </w:p>
    <w:p>
      <w:pPr>
        <w:spacing w:before="80" w:after="80"/>
      </w:pPr>
      <w:r>
        <w:t xml:space="preserve"/>
      </w:r>
    </w:p>
    <w:p>
      <w:pPr>
        <w:spacing w:before="60" w:after="60"/>
        <w:jc w:val="center"/>
      </w:pPr>
      <w:r>
        <w:rPr>
          <w:rFonts w:ascii="Courier New" w:cs="Courier New" w:eastAsia="Courier New" w:hAnsi="Courier New"/>
          <w:b/>
          <w:bCs/>
          <w:color w:val="0D1B2A"/>
          <w:sz w:val="22"/>
          <w:szCs w:val="22"/>
        </w:rPr>
        <w:t xml:space="preserve">Total BRC emitido (todas as redes)  ≤  Total BRL em custódia</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desigualdade (≤ em vez de =) reflete o fato de que pode haver BRL em custódia aguardando o encerramento de um processo de burn em andamento. Em equilíbrio, a relação tende à igualdade. O sistema de reconciliação verifica essa invariante diariamente e emite alertas automáticos para qualquer desvio detectado.</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5. Proof of Reserves</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confiança em uma stablecoin lastreada depende fundamentalmente da verificabilidade de suas reservas. O BRC adota um modelo de transparência que permite verificação independente por qualquer participante, sem necessidade de acesso privilegiado.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Mensalmente, o emissor publica um Relatório de Proof of Reserves contendo: (i) o total de BRC em circulação em cada rede suportada, consultável diretamente on-chain por qualquer observador; (ii) o extrato auditado das contas de custódia das IPs parceiras, certificado por auditor independente; e (iii) o hash SHA-256 do relatório completo, registrado como dado imutável na blockchain da Liquid Network.</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verificação funciona da seguinte forma: qualquer auditor pode consultar o total emitido diretamente nos exploradores de cada rede, obter o relatório publicado pelo emissor, calcular seu hash e compará-lo ao hash registrado on-chain. A imutabilidade do registro na blockchain garante que o relatório não pode ser alterado retroativamente.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6E56" w:sz="12"/>
              <w:bottom w:val="none" w:color="FFFFFF" w:sz="0"/>
              <w:right w:val="none" w:color="FFFFFF" w:sz="0"/>
            </w:tcBorders>
            <w:shd w:fill="EAF5F0" w:val="clear"/>
            <w:tcMar>
              <w:top w:type="dxa" w:w="100"/>
              <w:left w:type="dxa" w:w="200"/>
              <w:bottom w:type="dxa" w:w="100"/>
              <w:right w:type="dxa" w:w="200"/>
            </w:tcMar>
          </w:tcPr>
          <w:p>
            <w:pPr>
              <w:spacing w:before="40" w:after="40"/>
              <w:jc w:val="both"/>
            </w:pPr>
            <w:r>
              <w:rPr>
                <w:rFonts w:ascii="Georgia" w:cs="Georgia" w:eastAsia="Georgia" w:hAnsi="Georgia"/>
                <w:i/>
                <w:iCs/>
                <w:color w:val="0D1B2A"/>
                <w:sz w:val="21"/>
                <w:szCs w:val="21"/>
              </w:rPr>
              <w:t xml:space="preserve">O Proof of Reserves do BRC é projetado para ser verificável de forma completamente independente — sem depender da confiança no emissor, apenas da verificabilidade das redes blockchain e dos registros auditados.</w:t>
            </w:r>
          </w:p>
        </w:tc>
      </w:tr>
    </w:tbl>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Adicionalmente, o sistema de reconciliação interno opera diariamente comparando emissão e reservas. Qualquer discrepância acima de zero suspende automaticamente novos mints até que a causa seja identificada e corrigida. Esse mecanismo é independente do ciclo de publicação mensal.</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6. Integração com o PIX</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PIX é o sistema de pagamentos instantâneos do Banco Central do Brasil, disponível 24 horas por dia, 7 dias por semana, com liquidação em segundos. A integração do BRC com o PIX é realizada por meio de parcerias com Instituições de Pagamento (IPs) licenciadas pelo BACEN.</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perna PIX das operações BRC IN e BRC OUT é operada inteiramente pelas IPs parceiras, sob suas respectivas licenças regulatórias. O emissor do BRC não é uma IP e não realiza diretamente operações de câmbio ou liquidação de pagamentos em moeda nacional — essas atividades são de responsabilidade das IPs parceiras, que possuem autorização própria para isso.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Essa arquitetura tem implicações regulatórias relevantes: a perna blockchain da operação (emissão e resgate de BRC) é realizada pelo emissor; a perna fiat (PIX) é realizada pela IP parceira licenciada. A separação de responsabilidades é refletida nos contratos entre as partes e nos processos de compliance de cada entidade.</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sistema suporta múltiplas IPs parceiras simultaneamente, com lógica de failover automático. Se uma IP parceira não estiver disponível para processar um pagamento, o sistema roteia automaticamente para uma IP alternativa — sem impacto para o parceiro final. Essa redundância é fundamental para garantir o SLA de disponibilidade do serviço.</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7. Marco Regulatório e Posição Jurídica</w:t>
      </w:r>
    </w:p>
    <w:p>
      <w:pPr>
        <w:pStyle w:val="Heading2"/>
        <w:spacing w:before="320" w:after="120"/>
      </w:pPr>
      <w:r>
        <w:rPr>
          <w:rFonts w:ascii="Calibri" w:cs="Calibri" w:eastAsia="Calibri" w:hAnsi="Calibri"/>
          <w:b/>
          <w:bCs/>
          <w:color w:val="0D1B2A"/>
          <w:sz w:val="24"/>
          <w:szCs w:val="24"/>
        </w:rPr>
        <w:t xml:space="preserve">7.1 Marco Legal no Brasil</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marco legal para ativos virtuais no Brasil é estabelecido pela Lei 14.478/2022, regulamentada pelas Resoluções BCB 519, 520 e 521, em vigor desde 02 de fevereiro de 2026. Essas normas criaram a figura das Sociedades Prestadoras de Serviços de Ativos Virtuais (SPSAVs) e estabeleceram requisitos de autorização, governança e compliance para quem exerce profissionalmente atividades com ativos virtuais no Brasil.</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 Resolução 521 estabeleceu, adicionalmente, que determinadas operações com ativos virtuais referenciados em moeda fiduciária são tratadas como operações do mercado de câmbio. O escopo dessa norma foi motivado pelo risco de evasão de divisas associado ao uso de stablecoins em moeda estrangeira — particularmente stablecoins em dólar norte-americano, que representam mais de 90% do volume de ativos virtuais negociados no Brasil segundo dados do próprio Banco Central.</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7.2 BRC e a Resolução 521</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é referenciado em Real brasileiro — moeda nacional — e não em moeda estrangeira. Operações de emissão e resgate de BRC não envolvem conversão de divisa e, portanto, não geram o risco de evasão cambial que motivou a edição da Resolução 521. A interpretação do emissor, sustentada por parecer jurídico, é que o BRC não se enquadra no escopo das operações cambiais definidas por essa resolução.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Essa posição é fundamentada no princípio hermenêutico de que normas regulatórias devem ser interpretadas conforme sua finalidade (teleologia). A finalidade declarada da Resolução 521 — endereçar o risco de evasão de divisas — não é aplicável a um ativo referenciado na própria moeda nacional.</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emissor mantém postura proativa de diálogo com o Banco Central e está em processo de formalização dessa interpretação junto ao regulador. O prazo regulatório para que PSAVs já em atividade protocolem pedido de autorização se estende até outubro de 2026, o que permite tempo suficiente para o amadurecimento da tese jurídica e, se necessário, para o protocolo preventivo da autorização.</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7.3 Compliance e PLD/CFT</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adota, desde o lançamento, as melhores práticas de prevenção à lavagem de dinheiro e ao financiamento do terrorismo (PLD/CFT), alinhadas com as diretrizes do Grupo de Ação Financeira Internacional (GAFI). O onboarding de parceiros inclui processo de KYB (Know Your Business) automatizado com verificação em bases regulatórias, além de monitoramento contínuo de padrões de transação.</w:t>
      </w:r>
    </w:p>
    <w:p>
      <w:pPr>
        <w:spacing w:before="80" w:after="80"/>
      </w:pPr>
      <w:r>
        <w:t xml:space="preserve"/>
      </w:r>
    </w:p>
    <w:p>
      <w:pPr>
        <w:spacing w:before="60" w:after="120" w:line="276" w:lineRule="auto"/>
        <w:jc w:val="both"/>
      </w:pPr>
      <w:r>
        <w:rPr>
          <w:rFonts w:ascii="Georgia" w:cs="Georgia" w:eastAsia="Georgia" w:hAnsi="Georgia"/>
          <w:b w:val="false"/>
          <w:bCs w:val="false"/>
          <w:i w:val="false"/>
          <w:iCs w:val="false"/>
          <w:color w:val="2C2C2A"/>
          <w:sz w:val="22"/>
          <w:szCs w:val="22"/>
        </w:rPr>
        <w:t xml:space="preserve">Todas as transações confirmadas são registradas em audit log imutável, mantido em tecnologia que garante a integridade criptográfica dos registros. O emissor coopera plenamente com autoridades competentes em investigações relacionadas a atividades ilícitas, observados os requisitos legais aplicáveis.</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8. Riscos</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Todo sistema financeiro envolve riscos. A transparência sobre os riscos do BRC é parte do compromisso de confiabilidade do projeto. Os principais riscos são descritos a seguir.</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8.1 Risco de Custódia</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As reservas em BRL são custodiadas por Instituições de Pagamento parceiras, que estão sujeitas à regulação do BACEN. Em caso de insolvência ou indisponibilidade de uma IP parceira, o acesso às reservas pode ser temporariamente limitado. Para mitigar esse risco, o BRC distribui as reservas entre múltiplas IPs parceiras, de forma que nenhuma concentre a totalidade das reservas.</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8.2 Risco Regulatório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marco regulatório para ativos virtuais no Brasil está em desenvolvimento. Mudanças normativas futuras podem impactar a operação do BRC, exigir adaptações ao modelo operacional ou requerer obtenção de autorizações adicionais. O emissor acompanha ativamente a evolução regulatória e mantém equipe jurídica dedicada ao tema.</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8.3 Risco Técnico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Sistemas blockchain estão sujeitos a vulnerabilidades técnicas, incluindo falhas em contratos inteligentes, ataques a protocolos de consenso e indisponibilidade de rede. O BRC implementa múltiplas camadas de segurança, realiza pentest externo antes de cada lançamento em produção e mantém programa de divulgação responsável de vulnerabilidades. Apesar dessas medidas, o risco técnico não pode ser completamente eliminado.</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8.4 Risco de Liquidez</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Em condições de alto volume simultâneo de resgates (BRC OUT), pode haver pressão temporária sobre a capacidade de liquidação das IPs parceiras. O BRC mitiga esse risco por meio de limites operacionais por parceiro, reservas de liquidez e redundância entre múltiplas IPs. Volumes muito elevados podem, em circunstâncias excepcionais, resultar em atrasos no processamento.</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8.5 Risco de Contraparte</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O BRC opera em modelo B2B — os parceiros institucionais são contrapartes do sistema. Comportamento fraudulento ou inadimplência de um parceiro pode gerar perdas operacionais. O KYB rigoroso na entrada, os limites de crédito por parceiro e o monitoramento contínuo mitigam esse risco, mas não o eliminam inteiramente.</w:t>
      </w:r>
    </w:p>
    <w:p>
      <w:pPr>
        <w:spacing w:before="80" w:after="80"/>
      </w:pPr>
      <w:r>
        <w:t xml:space="preserve"/>
      </w:r>
    </w:p>
    <w:p>
      <w:pPr>
        <w:pStyle w:val="Heading2"/>
        <w:spacing w:before="320" w:after="120"/>
      </w:pPr>
      <w:r>
        <w:rPr>
          <w:rFonts w:ascii="Calibri" w:cs="Calibri" w:eastAsia="Calibri" w:hAnsi="Calibri"/>
          <w:b/>
          <w:bCs/>
          <w:color w:val="0D1B2A"/>
          <w:sz w:val="24"/>
          <w:szCs w:val="24"/>
        </w:rPr>
        <w:t xml:space="preserve">8.6 Limitações de Volume</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Como observado para outras stablecoins similares, operações de muito grande volume podem encontrar limitações operacionais decorrentes da capacidade das IPs parceiras e da liquidez disponível nas redes blockchain. Parceiros que antecipam volumes muito elevados devem entrar em contato com o emissor previamente para alinhamento de capacidade operacional.</w:t>
      </w:r>
    </w:p>
    <w:p>
      <w:pPr>
        <w:spacing w:before="80" w:after="80"/>
      </w:pPr>
      <w:r>
        <w:t xml:space="preserve"/>
      </w:r>
    </w:p>
    <w:p>
      <w:r>
        <w:br w:type="page"/>
      </w:r>
    </w:p>
    <w:p>
      <w:pPr>
        <w:pStyle w:val="Heading1"/>
        <w:pBdr>
          <w:bottom w:val="single" w:color="0F6E56" w:sz="8" w:space="2"/>
        </w:pBdr>
        <w:spacing w:before="480" w:after="200"/>
      </w:pPr>
      <w:r>
        <w:rPr>
          <w:rFonts w:ascii="Calibri" w:cs="Calibri" w:eastAsia="Calibri" w:hAnsi="Calibri"/>
          <w:b/>
          <w:bCs/>
          <w:color w:val="0D1B2A"/>
          <w:sz w:val="32"/>
          <w:szCs w:val="32"/>
        </w:rPr>
        <w:t xml:space="preserve">9. Glossário</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Asset Virtual (AV)</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Representação digital de valor que pode ser objeto de transações eletrônicas. No Brasil, definido pela Lei 14.478/2022.</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Blockchain</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Registro distribuído de transações, organizado em blocos encadeados criptograficamente. Cada bloco contém um conjunto de transações e uma referência criptográfica ao bloco anterior.</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BRC</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Brazilian Real Coin. Token lastreado em BRL na proporção 1:1, objeto deste whitepaper.</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BRL</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Real brasileiro. Moeda oficial da República Federativa do Brasil.</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Burn</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Operação de destruição permanente de tokens. No BRC, o burn ocorre durante o resgate — reduz o total circulante de forma verificável on-chain.</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Confidential Transactions</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Mecanismo criptográfico que oculta os valores de transações em redes como a Liquid Network, mantendo a verificabilidade matemática pelo emissor.</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ERC-20</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Padrão técnico para tokens fungíveis em redes EVM (Ethereum Virtual Machine). Define interface comum de transferência, aprovação e consulta de saldo.</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EVM</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Ethereum Virtual Machine. Ambiente de execução de contratos inteligentes compatível com Ethereum, suportado por diversas redes (Polygon, Base, Arbitrum, etc.).</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HSM</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Hardware Security Module. Dispositivo físico dedicado à geração, armazenamento e operações criptográficas com chaves privadas, com certificação de segurança de alto nível.</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IP (Instituição de Pagamento)</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Pessoa jurídica autorizada pelo Banco Central do Brasil a prover serviços de pagamento, incluindo operações PIX.</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Liquid Network</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Sidechain federada do Bitcoin operada por um consórcio de instituições financeiras. Suporta Confidential Assets e blocos de 2 minutos.</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Lightning Network</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Protocolo de pagamentos de segunda camada (L2) sobre o Bitcoin, que utiliza canais de pagamento para viabilizar transações instantâneas e de baixo custo.</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Mint</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Operação de criação de novos tokens. No BRC, o mint ocorre após a confirmação do PIX de entrada — emite BRC no endereço de destino.</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PIX</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Sistema de Pagamentos Instantâneos do Banco Central do Brasil, disponível 24/7 com liquidação em segundos.</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Proof of Reserves</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Mecanismo de verificação que demonstra que o total de tokens emitidos é coberto por reservas reais correspondentes.</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PSAV / SPSAV</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Prestadora de Serviços de Ativos Virtuais / Sociedade Prestadora de Serviços de Ativos Virtuais. Categorias regulatórias criadas pelas Resoluções BCB 519-521/2025.</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Stablecoin</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Token digital cujo valor é atrelado a um ativo externo, tipicamente uma moeda fiduciária. O BRC é uma stablecoin referenciada em BRL.</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Taproot Assets</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Protocolo desenvolvido pela Lightning Labs para emissão de ativos sobre o Bitcoin via Taproot, com capacidade de roteamento pela Lightning Network.</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Token 3T</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Classificação conceitual do BRC: Transient (transitório), Tactful (discreto), Trustworthy (confiável).</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UUPS Proxy</w:t>
            </w:r>
          </w:p>
        </w:tc>
        <w:tc>
          <w:tcPr>
            <w:tcW w:type="dxa" w:w="676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Universal Upgradeable Proxy Standard. Padrão de contrato inteligente que permite atualizações sem migração de saldo, preservando endereços e saldos existentes.</w:t>
            </w:r>
          </w:p>
        </w:tc>
      </w:tr>
      <w:tr>
        <w:tc>
          <w:tcPr>
            <w:tcW w:type="dxa" w:w="2600"/>
            <w:tcBorders>
              <w:top w:val="single" w:color="CCCCCC" w:sz="1"/>
              <w:left w:val="single" w:color="CCCCCC" w:sz="1"/>
              <w:bottom w:val="single" w:color="CCCCCC" w:sz="1"/>
              <w:right w:val="single" w:color="CCCCCC" w:sz="1"/>
            </w:tcBorders>
            <w:shd w:fill="F7F7F7" w:val="clear"/>
            <w:tcMar>
              <w:top w:type="dxa" w:w="80"/>
              <w:left w:type="dxa" w:w="140"/>
              <w:bottom w:type="dxa" w:w="80"/>
              <w:right w:type="dxa" w:w="100"/>
            </w:tcMar>
          </w:tcPr>
          <w:p>
            <w:pPr>
              <w:spacing w:before="30" w:after="30"/>
            </w:pPr>
            <w:r>
              <w:rPr>
                <w:rFonts w:ascii="Calibri" w:cs="Calibri" w:eastAsia="Calibri" w:hAnsi="Calibri"/>
                <w:b/>
                <w:bCs/>
                <w:color w:val="0D1B2A"/>
                <w:sz w:val="20"/>
                <w:szCs w:val="20"/>
              </w:rPr>
              <w:t xml:space="preserve">Webhook</w:t>
            </w:r>
          </w:p>
        </w:tc>
        <w:tc>
          <w:tcPr>
            <w:tcW w:type="dxa" w:w="67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pPr>
              <w:spacing w:before="30" w:after="30"/>
              <w:jc w:val="both"/>
            </w:pPr>
            <w:r>
              <w:rPr>
                <w:rFonts w:ascii="Georgia" w:cs="Georgia" w:eastAsia="Georgia" w:hAnsi="Georgia"/>
                <w:color w:val="2C2C2A"/>
                <w:sz w:val="20"/>
                <w:szCs w:val="20"/>
              </w:rPr>
              <w:t xml:space="preserve">Mecanismo de notificação assíncrona por HTTP. O BRC usa webhooks para notificar parceiros sobre confirmações de transações.</w:t>
            </w:r>
          </w:p>
        </w:tc>
      </w:tr>
    </w:tbl>
    <w:p>
      <w:pPr>
        <w:spacing w:before="80" w:after="80"/>
      </w:pPr>
      <w:r>
        <w:t xml:space="preserve"/>
      </w:r>
    </w:p>
    <w:p>
      <w:r>
        <w:br w:type="page"/>
      </w:r>
    </w:p>
    <w:p>
      <w:pPr>
        <w:pStyle w:val="Heading2"/>
        <w:spacing w:before="320" w:after="120"/>
      </w:pPr>
      <w:r>
        <w:rPr>
          <w:rFonts w:ascii="Calibri" w:cs="Calibri" w:eastAsia="Calibri" w:hAnsi="Calibri"/>
          <w:b/>
          <w:bCs/>
          <w:color w:val="0D1B2A"/>
          <w:sz w:val="24"/>
          <w:szCs w:val="24"/>
        </w:rPr>
        <w:t xml:space="preserve">Contato</w:t>
      </w:r>
    </w:p>
    <w:p>
      <w:pPr>
        <w:spacing w:before="60" w:after="120" w:line="276" w:lineRule="auto"/>
        <w:jc w:val="both"/>
      </w:pPr>
      <w:r>
        <w:rPr>
          <w:rFonts w:ascii="Georgia" w:cs="Georgia" w:eastAsia="Georgia" w:hAnsi="Georgia"/>
          <w:b w:val="false"/>
          <w:bCs w:val="false"/>
          <w:i w:val="false"/>
          <w:iCs w:val="false"/>
          <w:color w:val="2C2C2A"/>
          <w:sz w:val="22"/>
          <w:szCs w:val="22"/>
        </w:rPr>
        <w:t xml:space="preserve">Para integrações, parcerias ou informações adicionais sobre o BRC:</w:t>
      </w:r>
    </w:p>
    <w:p>
      <w:pPr>
        <w:spacing w:before="80" w:after="80"/>
      </w:pPr>
      <w:r>
        <w:t xml:space="preserve"/>
      </w:r>
    </w:p>
    <w:p>
      <w:pPr>
        <w:spacing w:before="40" w:after="40"/>
        <w:jc w:val="center"/>
      </w:pPr>
      <w:r>
        <w:rPr>
          <w:rFonts w:ascii="Calibri" w:cs="Calibri" w:eastAsia="Calibri" w:hAnsi="Calibri"/>
          <w:b/>
          <w:bCs/>
          <w:color w:val="0F6E56"/>
          <w:sz w:val="24"/>
          <w:szCs w:val="24"/>
        </w:rPr>
        <w:t xml:space="preserve">brc.finance</w:t>
      </w:r>
    </w:p>
    <w:p>
      <w:pPr>
        <w:spacing w:before="0" w:after="0"/>
        <w:jc w:val="center"/>
      </w:pPr>
      <w:r>
        <w:rPr>
          <w:rFonts w:ascii="Calibri" w:cs="Calibri" w:eastAsia="Calibri" w:hAnsi="Calibri"/>
          <w:color w:val="4A4A4A"/>
          <w:sz w:val="20"/>
          <w:szCs w:val="20"/>
        </w:rPr>
        <w:t xml:space="preserve">contato@brc.finance</w:t>
      </w:r>
    </w:p>
    <w:p>
      <w:pPr>
        <w:spacing w:before="80" w:after="80"/>
      </w:pPr>
      <w:r>
        <w:t xml:space="preserve"/>
      </w:r>
    </w:p>
    <w:p>
      <w:pPr>
        <w:pBdr>
          <w:bottom w:val="single" w:color="E8E8E8" w:sz="2" w:space="1"/>
        </w:pBdr>
        <w:spacing w:before="240" w:after="240"/>
      </w:pPr>
      <w:r>
        <w:t xml:space="preserve"/>
      </w:r>
    </w:p>
    <w:p>
      <w:pPr>
        <w:spacing w:before="80" w:after="80"/>
      </w:pPr>
      <w:r>
        <w:t xml:space="preserve"/>
      </w:r>
    </w:p>
    <w:p>
      <w:pPr>
        <w:spacing w:before="60" w:after="80"/>
        <w:jc w:val="both"/>
      </w:pPr>
      <w:r>
        <w:rPr>
          <w:rFonts w:ascii="Georgia" w:cs="Georgia" w:eastAsia="Georgia" w:hAnsi="Georgia"/>
          <w:b/>
          <w:bCs/>
          <w:color w:val="4A4A4A"/>
          <w:sz w:val="18"/>
          <w:szCs w:val="18"/>
        </w:rPr>
        <w:t xml:space="preserve">Aviso Legal. </w:t>
      </w:r>
    </w:p>
    <w:p>
      <w:pPr>
        <w:spacing w:before="0" w:after="60"/>
        <w:jc w:val="both"/>
      </w:pPr>
      <w:r>
        <w:rPr>
          <w:rFonts w:ascii="Georgia" w:cs="Georgia" w:eastAsia="Georgia" w:hAnsi="Georgia"/>
          <w:color w:val="888888"/>
          <w:sz w:val="18"/>
          <w:szCs w:val="18"/>
        </w:rPr>
        <w:t xml:space="preserve">Este whitepaper é publicado exclusivamente para fins informativos. Não constitui, e não deve ser interpretado como, oferta, prospecto, captação ou distribuição de valores mobiliários ou qualquer instrumento financeiro em qualquer jurisdição. O BRC é uma infraestrutura de liquidação de pagamentos de uso institucional — não é um produto de investimento, nem deve ser utilizado como instrumento de poupança ou reserva de valor de longo prazo. Todas as informações são fornecidas "no estado em que se encontram" e estão sujeitas a alterações sem aviso prévio. Decisões de integração ou parceria devem ser precedidas de análise jurídica, regulatória e comercial independente. As informações regulatórias refletem a legislação vigente em março de 2026.</w:t>
      </w:r>
    </w:p>
    <w:p>
      <w:pPr>
        <w:spacing w:before="80" w:after="80"/>
      </w:pPr>
      <w:r>
        <w:t xml:space="preserve"/>
      </w:r>
    </w:p>
    <w:p>
      <w:pPr>
        <w:spacing w:before="60" w:after="60"/>
        <w:jc w:val="center"/>
      </w:pPr>
      <w:r>
        <w:rPr>
          <w:rFonts w:ascii="Calibri" w:cs="Calibri" w:eastAsia="Calibri" w:hAnsi="Calibri"/>
          <w:i/>
          <w:iCs/>
          <w:color w:val="888888"/>
          <w:sz w:val="16"/>
          <w:szCs w:val="16"/>
        </w:rPr>
        <w:t xml:space="preserve">BRC — Brazilian Real Coin  |  Whitepaper v1.0  |  Março 2026  |  brc.finance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8E8E8" w:sz="2" w:space="1"/>
      </w:pBdr>
      <w:spacing w:before="80" w:after="0"/>
      <w:jc w:val="center"/>
    </w:pPr>
    <w:r>
      <w:rPr>
        <w:rFonts w:ascii="Calibri" w:cs="Calibri" w:eastAsia="Calibri" w:hAnsi="Calibri"/>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E8E8" w:sz="2" w:space="1"/>
      </w:pBdr>
      <w:spacing w:before="0" w:after="80"/>
    </w:pPr>
    <w:r>
      <w:rPr>
        <w:rFonts w:ascii="Calibri" w:cs="Calibri" w:eastAsia="Calibri" w:hAnsi="Calibri"/>
        <w:color w:val="888888"/>
        <w:sz w:val="16"/>
        <w:szCs w:val="16"/>
      </w:rPr>
      <w:t xml:space="preserve">BRC — Brazilian Real Coin  |  Whitepaper v1.0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160"/>
      <w:outlineLvl w:val="0"/>
    </w:pPr>
    <w:rPr>
      <w:rFonts w:ascii="Calibri" w:cs="Calibri" w:eastAsia="Calibri" w:hAnsi="Calibri"/>
      <w:b/>
      <w:bCs/>
      <w:color w:val="0D1B2A"/>
      <w:sz w:val="32"/>
      <w:szCs w:val="32"/>
    </w:rPr>
  </w:style>
  <w:style w:type="paragraph" w:styleId="Heading2">
    <w:name w:val="Heading 2"/>
    <w:basedOn w:val="Normal"/>
    <w:next w:val="Normal"/>
    <w:qFormat/>
    <w:pPr>
      <w:spacing w:before="320" w:after="120"/>
      <w:outlineLvl w:val="1"/>
    </w:pPr>
    <w:rPr>
      <w:rFonts w:ascii="Calibri" w:cs="Calibri" w:eastAsia="Calibri" w:hAnsi="Calibri"/>
      <w:b/>
      <w:bCs/>
      <w:color w:val="0D1B2A"/>
      <w:sz w:val="24"/>
      <w:szCs w:val="24"/>
    </w:rPr>
  </w:style>
  <w:style w:type="paragraph" w:styleId="Heading3">
    <w:name w:val="Heading 3"/>
    <w:basedOn w:val="Normal"/>
    <w:next w:val="Normal"/>
    <w:qFormat/>
    <w:pPr>
      <w:spacing w:before="220" w:after="80"/>
      <w:outlineLvl w:val="2"/>
    </w:pPr>
    <w:rPr>
      <w:rFonts w:ascii="Calibri" w:cs="Calibri" w:eastAsia="Calibri" w:hAnsi="Calibri"/>
      <w:b/>
      <w:bCs/>
      <w:color w:val="0F6E56"/>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2026-03-22T23:43:24.460Z</dcterms:created>
  <dcterms:modified xsi:type="dcterms:W3CDTF">2026-03-22T23:43:24.460Z</dcterms:modified>
</cp:coreProperties>
</file>

<file path=docProps/custom.xml><?xml version="1.0" encoding="utf-8"?>
<Properties xmlns="http://schemas.openxmlformats.org/officeDocument/2006/custom-properties" xmlns:vt="http://schemas.openxmlformats.org/officeDocument/2006/docPropsVTypes"/>
</file>